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-714" w:type="dxa"/>
        <w:tblLook w:val="04A0" w:firstRow="1" w:lastRow="0" w:firstColumn="1" w:lastColumn="0" w:noHBand="0" w:noVBand="1"/>
      </w:tblPr>
      <w:tblGrid>
        <w:gridCol w:w="3443"/>
        <w:gridCol w:w="7472"/>
      </w:tblGrid>
      <w:tr w:rsidR="00B028FF" w:rsidRPr="00E3086D" w14:paraId="2BF82E34" w14:textId="77777777" w:rsidTr="00AB47FB">
        <w:trPr>
          <w:trHeight w:val="1135"/>
        </w:trPr>
        <w:tc>
          <w:tcPr>
            <w:tcW w:w="1091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8C2C962" w14:textId="77777777" w:rsidR="00B028FF" w:rsidRPr="00B028FF" w:rsidRDefault="00B028FF" w:rsidP="00B028FF">
            <w:pPr>
              <w:spacing w:after="0" w:line="240" w:lineRule="auto"/>
              <w:ind w:left="147"/>
              <w:jc w:val="center"/>
              <w:rPr>
                <w:rFonts w:asciiTheme="majorHAnsi" w:eastAsia="Arial" w:hAnsiTheme="majorHAnsi" w:cstheme="majorHAnsi"/>
                <w:b/>
                <w:color w:val="0070C0"/>
                <w:sz w:val="24"/>
                <w:szCs w:val="24"/>
                <w:lang w:eastAsia="bg-BG"/>
              </w:rPr>
            </w:pPr>
            <w:r w:rsidRPr="00B028FF">
              <w:rPr>
                <w:rFonts w:asciiTheme="majorHAnsi" w:eastAsia="Arial" w:hAnsiTheme="majorHAnsi" w:cstheme="majorHAnsi"/>
                <w:b/>
                <w:color w:val="0070C0"/>
                <w:sz w:val="24"/>
                <w:szCs w:val="24"/>
                <w:lang w:eastAsia="bg-BG"/>
              </w:rPr>
              <w:t>ИНФОРМАЦИЯ ЗА ПОЛЗВАТ</w:t>
            </w:r>
            <w:r>
              <w:rPr>
                <w:rFonts w:asciiTheme="majorHAnsi" w:eastAsia="Arial" w:hAnsiTheme="majorHAnsi" w:cstheme="majorHAnsi"/>
                <w:b/>
                <w:color w:val="0070C0"/>
                <w:sz w:val="24"/>
                <w:szCs w:val="24"/>
                <w:lang w:eastAsia="bg-BG"/>
              </w:rPr>
              <w:t>ЕЛИТЕ НА ЗАСТРАХОВАТЕЛНИ УСЛУГИ</w:t>
            </w:r>
          </w:p>
          <w:p w14:paraId="33B46E4C" w14:textId="77777777" w:rsidR="00B028FF" w:rsidRPr="00B028FF" w:rsidRDefault="00B028FF" w:rsidP="00B028FF">
            <w:pPr>
              <w:spacing w:after="0" w:line="240" w:lineRule="auto"/>
              <w:ind w:left="147"/>
              <w:jc w:val="center"/>
              <w:rPr>
                <w:rFonts w:asciiTheme="majorHAnsi" w:eastAsia="Times New Roman" w:hAnsiTheme="majorHAnsi" w:cstheme="majorHAnsi"/>
                <w:color w:val="0070C0"/>
                <w:sz w:val="24"/>
                <w:szCs w:val="24"/>
                <w:lang w:eastAsia="bg-BG"/>
              </w:rPr>
            </w:pPr>
            <w:r w:rsidRPr="00B028FF">
              <w:rPr>
                <w:rFonts w:asciiTheme="majorHAnsi" w:eastAsia="Arial" w:hAnsiTheme="majorHAnsi" w:cstheme="majorHAnsi"/>
                <w:b/>
                <w:color w:val="0070C0"/>
                <w:sz w:val="24"/>
                <w:szCs w:val="24"/>
                <w:lang w:eastAsia="bg-BG"/>
              </w:rPr>
              <w:t>съгласно чл. 325 от Кодекс за застраховането</w:t>
            </w:r>
          </w:p>
        </w:tc>
      </w:tr>
      <w:tr w:rsidR="00B028FF" w:rsidRPr="00E3086D" w14:paraId="7F2326B9" w14:textId="77777777" w:rsidTr="00B028FF">
        <w:tc>
          <w:tcPr>
            <w:tcW w:w="34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115D80" w14:textId="77777777" w:rsidR="00B028FF" w:rsidRPr="00B028FF" w:rsidRDefault="00B028FF" w:rsidP="00B028FF">
            <w:pPr>
              <w:spacing w:before="60" w:after="0" w:line="240" w:lineRule="auto"/>
              <w:ind w:left="29"/>
              <w:rPr>
                <w:rFonts w:asciiTheme="majorHAnsi" w:eastAsia="Times New Roman" w:hAnsiTheme="majorHAnsi" w:cstheme="majorHAnsi"/>
                <w:smallCaps/>
                <w:color w:val="0070C0"/>
                <w:sz w:val="20"/>
                <w:szCs w:val="20"/>
                <w:lang w:eastAsia="bg-BG"/>
              </w:rPr>
            </w:pPr>
            <w:r w:rsidRPr="00B028FF">
              <w:rPr>
                <w:rFonts w:asciiTheme="majorHAnsi" w:eastAsia="Arial" w:hAnsiTheme="majorHAnsi" w:cstheme="majorHAnsi"/>
                <w:b/>
                <w:smallCaps/>
                <w:color w:val="0070C0"/>
                <w:sz w:val="20"/>
                <w:szCs w:val="20"/>
                <w:lang w:eastAsia="bg-BG"/>
              </w:rPr>
              <w:t xml:space="preserve">Застрахователен агент, наименование, правно-организационна </w:t>
            </w:r>
            <w:bookmarkStart w:id="0" w:name="_GoBack"/>
            <w:bookmarkEnd w:id="0"/>
            <w:r w:rsidRPr="00B028FF">
              <w:rPr>
                <w:rFonts w:asciiTheme="majorHAnsi" w:eastAsia="Arial" w:hAnsiTheme="majorHAnsi" w:cstheme="majorHAnsi"/>
                <w:b/>
                <w:smallCaps/>
                <w:color w:val="0070C0"/>
                <w:sz w:val="20"/>
                <w:szCs w:val="20"/>
                <w:lang w:eastAsia="bg-BG"/>
              </w:rPr>
              <w:t>форма</w:t>
            </w: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3CE4D3" w14:textId="77777777" w:rsidR="00B028FF" w:rsidRPr="00E3086D" w:rsidRDefault="00B028FF" w:rsidP="00B028FF">
            <w:pPr>
              <w:spacing w:before="60" w:after="60" w:line="240" w:lineRule="auto"/>
              <w:ind w:right="66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bg-BG"/>
              </w:rPr>
            </w:pPr>
            <w:r w:rsidRPr="00E3086D">
              <w:rPr>
                <w:rFonts w:asciiTheme="majorHAnsi" w:eastAsia="Arial" w:hAnsiTheme="majorHAnsi" w:cstheme="majorHAnsi"/>
                <w:b/>
                <w:sz w:val="20"/>
                <w:szCs w:val="20"/>
                <w:lang w:eastAsia="bg-BG"/>
              </w:rPr>
              <w:t xml:space="preserve">ОБЕДИНЕНА БЪЛГАРСКА БАНКА АД, 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вписано в Търговския регистър при Агенция по вписвания с ЕИК: 000694959 е Застрахователен агент единствено на „ДЗИ – Общо застраховане“ ЕАД, вписано в Търговския регистър при Агенция по вписвания с ЕИК: 121718407 (притежаващо разрешение за извършване на застрахователна дейност №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 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2 от 13.05.1998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 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г., №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 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77 от 15.04.1999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 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г., решение №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 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В-15 от 14.06.2000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 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г., решение №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 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1175-ОЗ от 06.12.2006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 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 xml:space="preserve">г.) и на „ДЗИ 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–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 xml:space="preserve"> Животозастраховане” ЕАД, вписано в Търговския регистър при Агенция по вписвания с ЕИК: 121518328 (притежаващо разрешение за извършване на застрахователна дейност №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val="en-US" w:eastAsia="bg-BG"/>
              </w:rPr>
              <w:t> 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2 от 13.05. 1998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 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г., №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val="en-US" w:eastAsia="bg-BG"/>
              </w:rPr>
              <w:t> 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В-3 от 22.10.1999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 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г. и №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val="en-US" w:eastAsia="bg-BG"/>
              </w:rPr>
              <w:t> 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1169 от 19.12.2012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 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г. (Застрахователи). Застрахователният агент изпълнява задълженията си по силата на договори за застрахователно агентство.</w:t>
            </w:r>
          </w:p>
        </w:tc>
      </w:tr>
      <w:tr w:rsidR="00B028FF" w:rsidRPr="00E3086D" w14:paraId="64BA3DE0" w14:textId="77777777" w:rsidTr="00B028FF">
        <w:tc>
          <w:tcPr>
            <w:tcW w:w="34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9190A1" w14:textId="77777777" w:rsidR="00B028FF" w:rsidRPr="00B028FF" w:rsidRDefault="00B028FF" w:rsidP="00B028FF">
            <w:pPr>
              <w:spacing w:before="60" w:after="0" w:line="240" w:lineRule="auto"/>
              <w:ind w:left="29"/>
              <w:rPr>
                <w:rFonts w:asciiTheme="majorHAnsi" w:eastAsia="Arial" w:hAnsiTheme="majorHAnsi" w:cstheme="majorHAnsi"/>
                <w:b/>
                <w:smallCaps/>
                <w:color w:val="0070C0"/>
                <w:sz w:val="20"/>
                <w:szCs w:val="20"/>
                <w:lang w:eastAsia="bg-BG"/>
              </w:rPr>
            </w:pPr>
            <w:r w:rsidRPr="00B028FF">
              <w:rPr>
                <w:rFonts w:asciiTheme="majorHAnsi" w:eastAsia="Arial" w:hAnsiTheme="majorHAnsi" w:cstheme="majorHAnsi"/>
                <w:b/>
                <w:smallCaps/>
                <w:color w:val="0070C0"/>
                <w:sz w:val="20"/>
                <w:szCs w:val="20"/>
                <w:lang w:eastAsia="bg-BG"/>
              </w:rPr>
              <w:t>Държава членка на седалището и адрес на управление на застрахователния агент</w:t>
            </w: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662910" w14:textId="77777777" w:rsidR="00B028FF" w:rsidRPr="00E3086D" w:rsidRDefault="00B028FF" w:rsidP="00B028FF">
            <w:pPr>
              <w:spacing w:before="60" w:after="0" w:line="240" w:lineRule="auto"/>
              <w:ind w:right="66"/>
              <w:jc w:val="both"/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</w:pP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Република България</w:t>
            </w:r>
          </w:p>
          <w:p w14:paraId="5B42039C" w14:textId="77777777" w:rsidR="00B028FF" w:rsidRPr="00E3086D" w:rsidRDefault="00B028FF" w:rsidP="00B028FF">
            <w:pPr>
              <w:spacing w:after="0" w:line="240" w:lineRule="auto"/>
              <w:ind w:right="66"/>
              <w:jc w:val="both"/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1463 София, район „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Триадица”, бул.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 xml:space="preserve"> „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Витоша” №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 89Б</w:t>
            </w:r>
          </w:p>
          <w:p w14:paraId="0E915C61" w14:textId="77777777" w:rsidR="00B028FF" w:rsidRPr="00E3086D" w:rsidRDefault="00B028FF" w:rsidP="00B028FF">
            <w:pPr>
              <w:spacing w:after="0" w:line="240" w:lineRule="auto"/>
              <w:ind w:right="66"/>
              <w:jc w:val="both"/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</w:pPr>
            <w:proofErr w:type="spellStart"/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Tел</w:t>
            </w:r>
            <w:proofErr w:type="spellEnd"/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: 0700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 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117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 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17, E-</w:t>
            </w:r>
            <w:proofErr w:type="spellStart"/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mail</w:t>
            </w:r>
            <w:proofErr w:type="spellEnd"/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 xml:space="preserve">: </w:t>
            </w:r>
            <w:r w:rsidR="005F4F64" w:rsidRPr="005F4F64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jalbi@ubb.bg</w:t>
            </w:r>
            <w:r w:rsidR="005F4F64" w:rsidRPr="005F4F64" w:rsidDel="005F4F64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 xml:space="preserve"> </w:t>
            </w:r>
          </w:p>
          <w:p w14:paraId="7991AD82" w14:textId="77777777" w:rsidR="00B028FF" w:rsidRPr="00E3086D" w:rsidRDefault="00B028FF" w:rsidP="00B028FF">
            <w:pPr>
              <w:spacing w:after="60" w:line="240" w:lineRule="auto"/>
              <w:ind w:right="66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bg-BG"/>
              </w:rPr>
            </w:pP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Интернет страница:</w:t>
            </w:r>
            <w:r w:rsidRPr="00E3086D">
              <w:rPr>
                <w:rFonts w:asciiTheme="majorHAnsi" w:eastAsia="Arial" w:hAnsiTheme="majorHAnsi" w:cstheme="majorHAnsi"/>
                <w:color w:val="0563C1"/>
                <w:sz w:val="20"/>
                <w:szCs w:val="20"/>
                <w:lang w:eastAsia="bg-BG"/>
              </w:rPr>
              <w:t xml:space="preserve"> </w:t>
            </w:r>
            <w:hyperlink r:id="rId10" w:history="1">
              <w:r w:rsidRPr="00E3086D">
                <w:rPr>
                  <w:rFonts w:asciiTheme="majorHAnsi" w:eastAsia="Arial" w:hAnsiTheme="majorHAnsi" w:cstheme="majorHAnsi"/>
                  <w:color w:val="0563C1"/>
                  <w:sz w:val="20"/>
                  <w:szCs w:val="20"/>
                  <w:u w:val="single"/>
                  <w:lang w:eastAsia="bg-BG"/>
                </w:rPr>
                <w:t>www.</w:t>
              </w:r>
              <w:proofErr w:type="spellStart"/>
              <w:r w:rsidRPr="00E3086D">
                <w:rPr>
                  <w:rFonts w:asciiTheme="majorHAnsi" w:eastAsia="Arial" w:hAnsiTheme="majorHAnsi" w:cstheme="majorHAnsi"/>
                  <w:color w:val="0563C1"/>
                  <w:sz w:val="20"/>
                  <w:szCs w:val="20"/>
                  <w:u w:val="single"/>
                  <w:lang w:val="en-US" w:eastAsia="bg-BG"/>
                </w:rPr>
                <w:t>ubb</w:t>
              </w:r>
              <w:proofErr w:type="spellEnd"/>
              <w:r w:rsidRPr="00E3086D">
                <w:rPr>
                  <w:rFonts w:asciiTheme="majorHAnsi" w:eastAsia="Arial" w:hAnsiTheme="majorHAnsi" w:cstheme="majorHAnsi"/>
                  <w:color w:val="0563C1"/>
                  <w:sz w:val="20"/>
                  <w:szCs w:val="20"/>
                  <w:u w:val="single"/>
                  <w:lang w:eastAsia="bg-BG"/>
                </w:rPr>
                <w:t>.</w:t>
              </w:r>
              <w:proofErr w:type="spellStart"/>
              <w:r w:rsidRPr="00E3086D">
                <w:rPr>
                  <w:rFonts w:asciiTheme="majorHAnsi" w:eastAsia="Arial" w:hAnsiTheme="majorHAnsi" w:cstheme="majorHAnsi"/>
                  <w:color w:val="0563C1"/>
                  <w:sz w:val="20"/>
                  <w:szCs w:val="20"/>
                  <w:u w:val="single"/>
                  <w:lang w:eastAsia="bg-BG"/>
                </w:rPr>
                <w:t>bg</w:t>
              </w:r>
              <w:proofErr w:type="spellEnd"/>
            </w:hyperlink>
          </w:p>
        </w:tc>
      </w:tr>
      <w:tr w:rsidR="00B028FF" w:rsidRPr="00E3086D" w14:paraId="1A435880" w14:textId="77777777" w:rsidTr="00B028FF">
        <w:tc>
          <w:tcPr>
            <w:tcW w:w="34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E498B5" w14:textId="77777777" w:rsidR="00B028FF" w:rsidRPr="00B028FF" w:rsidRDefault="00B028FF" w:rsidP="00B028FF">
            <w:pPr>
              <w:spacing w:before="60" w:after="0" w:line="240" w:lineRule="auto"/>
              <w:ind w:left="29"/>
              <w:rPr>
                <w:rFonts w:asciiTheme="majorHAnsi" w:eastAsia="Arial" w:hAnsiTheme="majorHAnsi" w:cstheme="majorHAnsi"/>
                <w:b/>
                <w:smallCaps/>
                <w:color w:val="0070C0"/>
                <w:sz w:val="20"/>
                <w:szCs w:val="20"/>
                <w:lang w:eastAsia="bg-BG"/>
              </w:rPr>
            </w:pPr>
            <w:r w:rsidRPr="00B028FF">
              <w:rPr>
                <w:rFonts w:asciiTheme="majorHAnsi" w:eastAsia="Arial" w:hAnsiTheme="majorHAnsi" w:cstheme="majorHAnsi"/>
                <w:b/>
                <w:smallCaps/>
                <w:color w:val="0070C0"/>
                <w:sz w:val="20"/>
                <w:szCs w:val="20"/>
                <w:lang w:eastAsia="bg-BG"/>
              </w:rPr>
              <w:t>Информация за застрахователния агент</w:t>
            </w: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C34BE4" w14:textId="77777777" w:rsidR="00B028FF" w:rsidRPr="00E3086D" w:rsidRDefault="00B028FF" w:rsidP="00125254">
            <w:pPr>
              <w:spacing w:before="60" w:after="60" w:line="240" w:lineRule="auto"/>
              <w:ind w:right="66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bg-BG"/>
              </w:rPr>
            </w:pP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ОБЕДИНЕНА БЪЛГАРСКА БАНКА АД е вписано в публичния регистър на застрахователните агенти и посредниците, предлагащи застрахователни продукти като допълнителна дейност, воден от Комисията за финансов надзор на основание чл.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val="en-US" w:eastAsia="bg-BG"/>
              </w:rPr>
              <w:t> 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30, ал.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val="en-US" w:eastAsia="bg-BG"/>
              </w:rPr>
              <w:t> 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1, т.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val="en-US" w:eastAsia="bg-BG"/>
              </w:rPr>
              <w:t> 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12 от Закона за комисията за финансов надзор, като Застрахователен агент на „ДЗИ – Общо застраховане“ ЕАД, вписано на 31.08.2017 г.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val="en-US" w:eastAsia="bg-BG"/>
              </w:rPr>
              <w:t>,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 xml:space="preserve"> и на „ДЗИ 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–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 xml:space="preserve"> Животозастраховане” ЕАД, вписано на 01.10.2006 г., и се легитимира като застрахователен агент с Удостоверени</w:t>
            </w:r>
            <w:r w:rsidR="005525A4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я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 xml:space="preserve"> за легитимация, издаден</w:t>
            </w:r>
            <w:r w:rsidR="005525A4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и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 xml:space="preserve"> от </w:t>
            </w:r>
            <w:r w:rsidR="00125254"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Застраховател</w:t>
            </w:r>
            <w:r w:rsidR="00125254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ите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, наличн</w:t>
            </w:r>
            <w:r w:rsidR="005525A4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и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 xml:space="preserve"> във всеки клон на ОББ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 xml:space="preserve"> АД</w:t>
            </w:r>
            <w:r w:rsidR="005525A4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, в който се предлагат застрахователните продукти на Застрахователите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 xml:space="preserve">. Информацията за вписването е публична и може да бъде удостоверена чрез справка на интернет страницата на КФН: </w:t>
            </w:r>
            <w:r w:rsidRPr="00B028FF">
              <w:rPr>
                <w:rFonts w:asciiTheme="majorHAnsi" w:eastAsia="Arial" w:hAnsiTheme="majorHAnsi" w:cstheme="majorHAnsi"/>
                <w:color w:val="0563C1"/>
                <w:sz w:val="20"/>
                <w:szCs w:val="20"/>
                <w:u w:val="single"/>
                <w:lang w:eastAsia="bg-BG"/>
              </w:rPr>
              <w:t>https://www.fsc.bg/bg/registri-i-spravki/</w:t>
            </w:r>
          </w:p>
        </w:tc>
      </w:tr>
      <w:tr w:rsidR="003057A6" w:rsidRPr="00E3086D" w14:paraId="2A4E8B17" w14:textId="77777777" w:rsidTr="00EF0974">
        <w:trPr>
          <w:trHeight w:val="2695"/>
        </w:trPr>
        <w:tc>
          <w:tcPr>
            <w:tcW w:w="34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A6E4EB" w14:textId="77777777" w:rsidR="003057A6" w:rsidRPr="00B028FF" w:rsidRDefault="003057A6" w:rsidP="00E027C0">
            <w:pPr>
              <w:spacing w:before="60" w:after="0" w:line="240" w:lineRule="auto"/>
              <w:ind w:left="29"/>
              <w:rPr>
                <w:rFonts w:asciiTheme="majorHAnsi" w:eastAsia="Times New Roman" w:hAnsiTheme="majorHAnsi" w:cstheme="majorHAnsi"/>
                <w:b/>
                <w:smallCaps/>
                <w:color w:val="0070C0"/>
                <w:sz w:val="20"/>
                <w:szCs w:val="20"/>
                <w:lang w:eastAsia="bg-BG"/>
              </w:rPr>
            </w:pPr>
            <w:r w:rsidRPr="00B028FF">
              <w:rPr>
                <w:rFonts w:asciiTheme="majorHAnsi" w:eastAsia="Times New Roman" w:hAnsiTheme="majorHAnsi" w:cstheme="majorHAnsi"/>
                <w:b/>
                <w:smallCaps/>
                <w:color w:val="0070C0"/>
                <w:sz w:val="20"/>
                <w:szCs w:val="20"/>
                <w:lang w:eastAsia="bg-BG"/>
              </w:rPr>
              <w:t>Свързани лица със Застрахователния агент</w:t>
            </w: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A8CA9D" w14:textId="77777777" w:rsidR="003057A6" w:rsidRPr="00AE3EE9" w:rsidRDefault="003057A6" w:rsidP="00E027C0">
            <w:pPr>
              <w:spacing w:before="60" w:after="0" w:line="240" w:lineRule="auto"/>
              <w:jc w:val="both"/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</w:pPr>
            <w:r w:rsidRPr="00AE3EE9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 xml:space="preserve">„Обединена българска банка“ АД не притежава пряко или чрез свързани лица повече от 10 на сто от гласовете в общото събрание или от капитала на „ДЗИ – Общо застраховане” ЕАД или „ДЗИ – Животозастраховане“ ЕАД. </w:t>
            </w:r>
          </w:p>
          <w:p w14:paraId="3371A833" w14:textId="77777777" w:rsidR="003057A6" w:rsidRPr="00E3086D" w:rsidRDefault="003057A6" w:rsidP="00E027C0">
            <w:pPr>
              <w:spacing w:after="60" w:line="240" w:lineRule="auto"/>
              <w:jc w:val="both"/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</w:pPr>
            <w:r w:rsidRPr="00AE3EE9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„ДЗИ – Общо застраховане” ЕАД, съответно „ДЗИ – Животозастраховане“ ЕАД и едноличният собственик на капитала на посочените застрахователи не притежават пряко или чрез свързани лица акции или дялове, представляващи повече от 10 на сто от гласовете в Общото събрание или от капитала на застрахователния агент „Обединена българска банка“ АД, който извършва дейност на територията на Република България.  „Обединена българска банка“ АД, „ДЗИ – Общо застраховане” ЕАД и  „ДЗИ – Животозастраховане“ ЕАД са част от белгийската банково-застрахователна група КВС.</w:t>
            </w:r>
          </w:p>
        </w:tc>
      </w:tr>
      <w:tr w:rsidR="00B028FF" w:rsidRPr="00E3086D" w14:paraId="1BA190E6" w14:textId="77777777" w:rsidTr="00B028FF">
        <w:tc>
          <w:tcPr>
            <w:tcW w:w="34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D4D3B0" w14:textId="77777777" w:rsidR="00B028FF" w:rsidRPr="00B028FF" w:rsidRDefault="00B028FF" w:rsidP="00B028FF">
            <w:pPr>
              <w:spacing w:before="60" w:after="0" w:line="240" w:lineRule="auto"/>
              <w:ind w:left="29"/>
              <w:rPr>
                <w:rFonts w:asciiTheme="majorHAnsi" w:eastAsia="Times New Roman" w:hAnsiTheme="majorHAnsi" w:cstheme="majorHAnsi"/>
                <w:b/>
                <w:smallCaps/>
                <w:color w:val="0070C0"/>
                <w:sz w:val="20"/>
                <w:szCs w:val="20"/>
                <w:lang w:eastAsia="bg-BG"/>
              </w:rPr>
            </w:pPr>
            <w:r w:rsidRPr="00B028FF">
              <w:rPr>
                <w:rFonts w:asciiTheme="majorHAnsi" w:eastAsia="Times New Roman" w:hAnsiTheme="majorHAnsi" w:cstheme="majorHAnsi"/>
                <w:b/>
                <w:smallCaps/>
                <w:color w:val="0070C0"/>
                <w:sz w:val="20"/>
                <w:szCs w:val="20"/>
                <w:lang w:eastAsia="bg-BG"/>
              </w:rPr>
              <w:t xml:space="preserve">Ред </w:t>
            </w:r>
            <w:r w:rsidRPr="00B028FF">
              <w:rPr>
                <w:rFonts w:asciiTheme="majorHAnsi" w:eastAsia="Arial" w:hAnsiTheme="majorHAnsi" w:cstheme="majorHAnsi"/>
                <w:b/>
                <w:smallCaps/>
                <w:color w:val="0070C0"/>
                <w:sz w:val="20"/>
                <w:szCs w:val="20"/>
                <w:lang w:eastAsia="bg-BG"/>
              </w:rPr>
              <w:t>за подаване на жалби относно действията на застрахователния агент</w:t>
            </w: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C9D949" w14:textId="77777777" w:rsidR="00B028FF" w:rsidRPr="00E3086D" w:rsidRDefault="00B028FF" w:rsidP="00125254">
            <w:pPr>
              <w:spacing w:before="60" w:after="60" w:line="240" w:lineRule="auto"/>
              <w:ind w:right="66"/>
              <w:jc w:val="both"/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</w:pP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Ползвателите на застрахователни услуги могат да подадат жалба във връзка с</w:t>
            </w:r>
            <w:r w:rsidR="00125254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ъс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 xml:space="preserve"> </w:t>
            </w:r>
            <w:r w:rsidR="00125254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 xml:space="preserve">застрахователните 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продукт</w:t>
            </w:r>
            <w:r w:rsidR="00125254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и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 xml:space="preserve">, </w:t>
            </w:r>
            <w:r w:rsidR="00125254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З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 xml:space="preserve">астрахователния агент или </w:t>
            </w:r>
            <w:r w:rsidR="00125254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З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астраховател</w:t>
            </w:r>
            <w:r w:rsidR="00125254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ите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, депозирана лично или чрез пълномощник с нотариално заверено пълномощно, до Централно управление на Застраховате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лния агент – 1463 София, район „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Триадица”, бул.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 xml:space="preserve"> „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Витоша” №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val="en-US" w:eastAsia="bg-BG"/>
              </w:rPr>
              <w:t> 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 xml:space="preserve">89Б или до Централно управление на Застрахователя – 1463 София, район 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„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Триадица”, бул.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val="en-US" w:eastAsia="bg-BG"/>
              </w:rPr>
              <w:t xml:space="preserve"> 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„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Витоша” №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val="en-US" w:eastAsia="bg-BG"/>
              </w:rPr>
              <w:t> 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 xml:space="preserve">89Б. Жалби могат да се подават и чрез попълване на електронната форма на страницата на Застрахователния агент – </w:t>
            </w:r>
            <w:hyperlink r:id="rId11" w:history="1">
              <w:r w:rsidRPr="0087497C">
                <w:rPr>
                  <w:rStyle w:val="Hyperlink"/>
                  <w:rFonts w:asciiTheme="majorHAnsi" w:eastAsia="Arial" w:hAnsiTheme="majorHAnsi" w:cstheme="majorHAnsi"/>
                  <w:sz w:val="20"/>
                  <w:szCs w:val="20"/>
                  <w:lang w:eastAsia="bg-BG"/>
                </w:rPr>
                <w:t>www.ubb.bg/contact/feedback</w:t>
              </w:r>
            </w:hyperlink>
            <w:r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 xml:space="preserve"> 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и на електронната поща на Застраховател</w:t>
            </w:r>
            <w:r w:rsidR="00125254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ите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 xml:space="preserve"> - </w:t>
            </w:r>
            <w:hyperlink r:id="rId12" w:history="1">
              <w:r w:rsidRPr="0087497C">
                <w:rPr>
                  <w:rStyle w:val="Hyperlink"/>
                  <w:rFonts w:asciiTheme="majorHAnsi" w:eastAsia="Arial" w:hAnsiTheme="majorHAnsi" w:cstheme="majorHAnsi"/>
                  <w:sz w:val="20"/>
                  <w:szCs w:val="20"/>
                  <w:lang w:eastAsia="bg-BG"/>
                </w:rPr>
                <w:t>clients@dzi.bg</w:t>
              </w:r>
            </w:hyperlink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. Застрахователният агент и/или Застраховател</w:t>
            </w:r>
            <w:r w:rsidR="00125254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ите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 xml:space="preserve"> се произнася</w:t>
            </w:r>
            <w:r w:rsidR="00125254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т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 xml:space="preserve"> по всяка заведена жалба в установения срок.</w:t>
            </w:r>
          </w:p>
        </w:tc>
      </w:tr>
      <w:tr w:rsidR="00B028FF" w:rsidRPr="00E3086D" w14:paraId="5120C143" w14:textId="77777777" w:rsidTr="00B028FF">
        <w:tc>
          <w:tcPr>
            <w:tcW w:w="34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40970E" w14:textId="77777777" w:rsidR="00B028FF" w:rsidRPr="00B028FF" w:rsidRDefault="00B028FF" w:rsidP="00B028FF">
            <w:pPr>
              <w:spacing w:before="60" w:after="0" w:line="240" w:lineRule="auto"/>
              <w:ind w:left="29"/>
              <w:rPr>
                <w:rFonts w:asciiTheme="majorHAnsi" w:eastAsia="Arial" w:hAnsiTheme="majorHAnsi" w:cstheme="majorHAnsi"/>
                <w:b/>
                <w:smallCaps/>
                <w:color w:val="0070C0"/>
                <w:sz w:val="20"/>
                <w:szCs w:val="20"/>
                <w:lang w:eastAsia="bg-BG"/>
              </w:rPr>
            </w:pPr>
            <w:r w:rsidRPr="00B028FF">
              <w:rPr>
                <w:rFonts w:asciiTheme="majorHAnsi" w:eastAsia="Arial" w:hAnsiTheme="majorHAnsi" w:cstheme="majorHAnsi"/>
                <w:b/>
                <w:smallCaps/>
                <w:color w:val="0070C0"/>
                <w:sz w:val="20"/>
                <w:szCs w:val="20"/>
                <w:lang w:eastAsia="bg-BG"/>
              </w:rPr>
              <w:lastRenderedPageBreak/>
              <w:t>Подаване на жалби пред Комисията за финансов надзор и други държавни органи</w:t>
            </w: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EFC335" w14:textId="77777777" w:rsidR="00B028FF" w:rsidRPr="00E3086D" w:rsidRDefault="00B028FF" w:rsidP="00125254">
            <w:pPr>
              <w:spacing w:before="60" w:after="0" w:line="240" w:lineRule="auto"/>
              <w:jc w:val="both"/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</w:pP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Жалби срещу Застрахователния агент и Застраховател</w:t>
            </w:r>
            <w:r w:rsidR="00125254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ите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 xml:space="preserve">, в зависимост от естеството им, могат да бъдат подавани и пред </w:t>
            </w:r>
            <w:r w:rsidRPr="00125254">
              <w:rPr>
                <w:rFonts w:asciiTheme="majorHAnsi" w:eastAsia="Arial" w:hAnsiTheme="majorHAnsi" w:cstheme="majorHAnsi"/>
                <w:b/>
                <w:sz w:val="20"/>
                <w:szCs w:val="20"/>
                <w:lang w:eastAsia="bg-BG"/>
              </w:rPr>
              <w:t>Комисия за финансов надзор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 xml:space="preserve"> – 1000 София, ул. „Будапеща“ 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№ 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16 или на e-</w:t>
            </w:r>
            <w:proofErr w:type="spellStart"/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mail</w:t>
            </w:r>
            <w:proofErr w:type="spellEnd"/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 xml:space="preserve">: </w:t>
            </w:r>
            <w:hyperlink r:id="rId13" w:history="1">
              <w:r w:rsidRPr="0087497C">
                <w:rPr>
                  <w:rStyle w:val="Hyperlink"/>
                  <w:rFonts w:asciiTheme="majorHAnsi" w:eastAsia="Arial" w:hAnsiTheme="majorHAnsi" w:cstheme="majorHAnsi"/>
                  <w:sz w:val="20"/>
                  <w:szCs w:val="20"/>
                  <w:lang w:eastAsia="bg-BG"/>
                </w:rPr>
                <w:t>delovodstvo@fsc.bg</w:t>
              </w:r>
            </w:hyperlink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 xml:space="preserve">; </w:t>
            </w:r>
            <w:r w:rsidRPr="00125254">
              <w:rPr>
                <w:rFonts w:asciiTheme="majorHAnsi" w:eastAsia="Arial" w:hAnsiTheme="majorHAnsi" w:cstheme="majorHAnsi"/>
                <w:b/>
                <w:sz w:val="20"/>
                <w:szCs w:val="20"/>
                <w:lang w:eastAsia="bg-BG"/>
              </w:rPr>
              <w:t>Комисия за защита на потребителите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 xml:space="preserve"> – 1000 София, пл. „Славейков“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 xml:space="preserve"> № 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4А или на интернет страница</w:t>
            </w:r>
            <w:r w:rsidRPr="00E3086D">
              <w:rPr>
                <w:rFonts w:asciiTheme="majorHAnsi" w:eastAsia="Arial" w:hAnsiTheme="majorHAnsi" w:cstheme="majorHAnsi"/>
                <w:color w:val="0563C1"/>
                <w:sz w:val="20"/>
                <w:szCs w:val="20"/>
                <w:lang w:eastAsia="bg-BG"/>
              </w:rPr>
              <w:t xml:space="preserve"> </w:t>
            </w:r>
            <w:r w:rsidRPr="00E3086D">
              <w:rPr>
                <w:rFonts w:asciiTheme="majorHAnsi" w:eastAsia="Arial" w:hAnsiTheme="majorHAnsi" w:cstheme="majorHAnsi"/>
                <w:color w:val="0563C1"/>
                <w:sz w:val="20"/>
                <w:szCs w:val="20"/>
                <w:u w:val="single"/>
                <w:lang w:eastAsia="bg-BG"/>
              </w:rPr>
              <w:t>www.kzp.bg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 xml:space="preserve"> и </w:t>
            </w:r>
            <w:r w:rsidRPr="00125254">
              <w:rPr>
                <w:rFonts w:asciiTheme="majorHAnsi" w:eastAsia="Arial" w:hAnsiTheme="majorHAnsi" w:cstheme="majorHAnsi"/>
                <w:b/>
                <w:sz w:val="20"/>
                <w:szCs w:val="20"/>
                <w:lang w:eastAsia="bg-BG"/>
              </w:rPr>
              <w:t>Комисия за защита на личните данни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 xml:space="preserve"> – 1592 София, бул. „Проф. Цветан Лазаров” №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 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2 или на e-</w:t>
            </w:r>
            <w:proofErr w:type="spellStart"/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mail</w:t>
            </w:r>
            <w:proofErr w:type="spellEnd"/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:</w:t>
            </w:r>
            <w:r w:rsidRPr="00E3086D">
              <w:rPr>
                <w:rFonts w:asciiTheme="majorHAnsi" w:eastAsia="Arial" w:hAnsiTheme="majorHAnsi" w:cstheme="majorHAnsi"/>
                <w:color w:val="0563C1"/>
                <w:sz w:val="20"/>
                <w:szCs w:val="20"/>
                <w:lang w:eastAsia="bg-BG"/>
              </w:rPr>
              <w:t xml:space="preserve"> </w:t>
            </w:r>
            <w:r w:rsidRPr="00E3086D">
              <w:rPr>
                <w:rFonts w:asciiTheme="majorHAnsi" w:eastAsia="Arial" w:hAnsiTheme="majorHAnsi" w:cstheme="majorHAnsi"/>
                <w:color w:val="0563C1"/>
                <w:sz w:val="20"/>
                <w:szCs w:val="20"/>
                <w:u w:val="single"/>
                <w:lang w:eastAsia="bg-BG"/>
              </w:rPr>
              <w:t>kzld@cpdp.bg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 xml:space="preserve">, както и до други компетентни органи. Всички спорни въпроси, за които не е постигнато споразумение между страните, могат да бъдат отнесени за разрешаване 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по компетентност от съответния български съд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 xml:space="preserve"> по общия ред или разгледани извънсъдебно в производство по 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а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лтернативното решаване на спорове пред секторната помирителна комисия към Комисията за защита на потребителите.</w:t>
            </w:r>
          </w:p>
        </w:tc>
      </w:tr>
      <w:tr w:rsidR="00B028FF" w:rsidRPr="00E3086D" w14:paraId="79E49FEC" w14:textId="77777777" w:rsidTr="00B028FF">
        <w:tc>
          <w:tcPr>
            <w:tcW w:w="34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5EC832" w14:textId="77777777" w:rsidR="00B028FF" w:rsidRPr="00B028FF" w:rsidRDefault="00B028FF" w:rsidP="00B028FF">
            <w:pPr>
              <w:spacing w:before="60" w:after="0" w:line="240" w:lineRule="auto"/>
              <w:ind w:left="29"/>
              <w:rPr>
                <w:rFonts w:asciiTheme="majorHAnsi" w:eastAsia="Arial" w:hAnsiTheme="majorHAnsi" w:cstheme="majorHAnsi"/>
                <w:b/>
                <w:smallCaps/>
                <w:color w:val="0070C0"/>
                <w:sz w:val="20"/>
                <w:szCs w:val="20"/>
                <w:lang w:eastAsia="bg-BG"/>
              </w:rPr>
            </w:pPr>
            <w:r w:rsidRPr="00B028FF">
              <w:rPr>
                <w:rFonts w:asciiTheme="majorHAnsi" w:eastAsia="Arial" w:hAnsiTheme="majorHAnsi" w:cstheme="majorHAnsi"/>
                <w:b/>
                <w:smallCaps/>
                <w:color w:val="0070C0"/>
                <w:sz w:val="20"/>
                <w:szCs w:val="20"/>
                <w:lang w:eastAsia="bg-BG"/>
              </w:rPr>
              <w:t xml:space="preserve">Ограничение в дейността на </w:t>
            </w:r>
            <w:r w:rsidRPr="00B028FF">
              <w:rPr>
                <w:rFonts w:asciiTheme="majorHAnsi" w:eastAsia="Times New Roman" w:hAnsiTheme="majorHAnsi" w:cstheme="majorHAnsi"/>
                <w:b/>
                <w:smallCaps/>
                <w:color w:val="0070C0"/>
                <w:sz w:val="20"/>
                <w:szCs w:val="20"/>
                <w:lang w:eastAsia="bg-BG"/>
              </w:rPr>
              <w:t>Застрахователния</w:t>
            </w:r>
            <w:r w:rsidRPr="00B028FF">
              <w:rPr>
                <w:rFonts w:asciiTheme="majorHAnsi" w:eastAsia="Arial" w:hAnsiTheme="majorHAnsi" w:cstheme="majorHAnsi"/>
                <w:b/>
                <w:smallCaps/>
                <w:color w:val="0070C0"/>
                <w:sz w:val="20"/>
                <w:szCs w:val="20"/>
                <w:lang w:eastAsia="bg-BG"/>
              </w:rPr>
              <w:t xml:space="preserve"> агент</w:t>
            </w: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32FB6E" w14:textId="77777777" w:rsidR="00B028FF" w:rsidRPr="00E3086D" w:rsidRDefault="00B028FF" w:rsidP="00B028FF">
            <w:pPr>
              <w:spacing w:before="60" w:after="60" w:line="240" w:lineRule="auto"/>
              <w:jc w:val="both"/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</w:pP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 xml:space="preserve">„Обединена българска банка“ АД в качеството си на застрахователен агент на „ДЗИ – Общо застраховане” ЕАД и „ДЗИ – Животозастраховане“ ЕАД няма право да предлага продукти и услуги по общо застраховане и </w:t>
            </w:r>
            <w:proofErr w:type="spellStart"/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животозастраховане</w:t>
            </w:r>
            <w:proofErr w:type="spellEnd"/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 xml:space="preserve"> на други застрахователни компании.</w:t>
            </w:r>
          </w:p>
        </w:tc>
      </w:tr>
      <w:tr w:rsidR="003406A9" w:rsidRPr="00E3086D" w14:paraId="688DAEC4" w14:textId="77777777" w:rsidTr="00B028FF">
        <w:tc>
          <w:tcPr>
            <w:tcW w:w="34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D80F67" w14:textId="77777777" w:rsidR="003406A9" w:rsidRPr="00B028FF" w:rsidRDefault="003406A9" w:rsidP="00B028FF">
            <w:pPr>
              <w:spacing w:before="60" w:after="0" w:line="240" w:lineRule="auto"/>
              <w:ind w:left="29"/>
              <w:rPr>
                <w:rFonts w:asciiTheme="majorHAnsi" w:eastAsia="Arial" w:hAnsiTheme="majorHAnsi" w:cstheme="majorHAnsi"/>
                <w:b/>
                <w:smallCaps/>
                <w:color w:val="0070C0"/>
                <w:sz w:val="20"/>
                <w:szCs w:val="20"/>
                <w:lang w:eastAsia="bg-BG"/>
              </w:rPr>
            </w:pPr>
            <w:r>
              <w:rPr>
                <w:rFonts w:asciiTheme="majorHAnsi" w:eastAsia="Arial" w:hAnsiTheme="majorHAnsi" w:cstheme="majorHAnsi"/>
                <w:b/>
                <w:smallCaps/>
                <w:color w:val="0070C0"/>
                <w:sz w:val="20"/>
                <w:szCs w:val="20"/>
                <w:lang w:eastAsia="bg-BG"/>
              </w:rPr>
              <w:t>Предоставяне на съвет</w:t>
            </w: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D3C732" w14:textId="2232B2A5" w:rsidR="003406A9" w:rsidRPr="00E3086D" w:rsidRDefault="003406A9" w:rsidP="00B028FF">
            <w:pPr>
              <w:spacing w:before="60" w:after="60" w:line="240" w:lineRule="auto"/>
              <w:jc w:val="both"/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</w:pP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„Обединена българска банка“ АД в качеството си на застрахователен агент на „ДЗИ – Общо застраховане” ЕАД и „ДЗИ – Животозастраховане“ ЕАД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 xml:space="preserve"> предоставя съвети при продажбата на </w:t>
            </w:r>
            <w:r w:rsidR="0051005E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инвестиционни застрахователни продукти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.</w:t>
            </w:r>
          </w:p>
        </w:tc>
      </w:tr>
      <w:tr w:rsidR="00B028FF" w:rsidRPr="00E3086D" w14:paraId="73EA6273" w14:textId="77777777" w:rsidTr="00B028FF">
        <w:tc>
          <w:tcPr>
            <w:tcW w:w="34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767ABC" w14:textId="77777777" w:rsidR="00B028FF" w:rsidRPr="00B028FF" w:rsidRDefault="00B028FF" w:rsidP="00B028FF">
            <w:pPr>
              <w:spacing w:before="60" w:after="0" w:line="240" w:lineRule="auto"/>
              <w:ind w:left="29"/>
              <w:rPr>
                <w:rFonts w:asciiTheme="majorHAnsi" w:eastAsia="Arial" w:hAnsiTheme="majorHAnsi" w:cstheme="majorHAnsi"/>
                <w:b/>
                <w:smallCaps/>
                <w:color w:val="0070C0"/>
                <w:sz w:val="20"/>
                <w:szCs w:val="20"/>
                <w:lang w:eastAsia="bg-BG"/>
              </w:rPr>
            </w:pPr>
            <w:r w:rsidRPr="00B028FF">
              <w:rPr>
                <w:rFonts w:asciiTheme="majorHAnsi" w:eastAsia="Arial" w:hAnsiTheme="majorHAnsi" w:cstheme="majorHAnsi"/>
                <w:b/>
                <w:smallCaps/>
                <w:color w:val="0070C0"/>
                <w:sz w:val="20"/>
                <w:szCs w:val="20"/>
                <w:lang w:eastAsia="bg-BG"/>
              </w:rPr>
              <w:t>Разкриване на конфликт на интереси</w:t>
            </w: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4F367E" w14:textId="77777777" w:rsidR="00B028FF" w:rsidRPr="00E3086D" w:rsidRDefault="00B028FF" w:rsidP="00125254">
            <w:pPr>
              <w:spacing w:before="60" w:after="60" w:line="240" w:lineRule="auto"/>
              <w:jc w:val="both"/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</w:pP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 xml:space="preserve">При изпълнение на функциите си, </w:t>
            </w:r>
            <w:r w:rsidR="00125254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З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астрахователния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т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 xml:space="preserve"> агент с</w:t>
            </w:r>
            <w:r w:rsidR="00125254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е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 xml:space="preserve"> задължава да предпочете интересите на ползват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елите на застрахователни услуги пред собствените си, частни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 xml:space="preserve"> интереси. Застрахователният агент разполага с необходимата структура, която да гарантира в достатъчна степен на сигурност, че ще се избегне рискът от увреждане на интересите на ползвателите, като разкрива своевременно и достатъчно време преди сключването на всеки конкретен застрахователен договор характера и източниците на конфликт на интереси. При разпространението на застрахователните продукти а в особена степен при разпространението на застраховки, свързани с инвестиционен фонд, </w:t>
            </w:r>
            <w:r w:rsidR="00125254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З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астрахователният агент е задължен да разкрива пред ползвателите на застрахователни продукти всяка информация с достатъчно подробности, за да се даде възможност да се вземе информирано решение относно дейностите по разпространение на застрахователни продукти, по отношение на които възниква конфликтът на интереси.</w:t>
            </w:r>
          </w:p>
        </w:tc>
      </w:tr>
      <w:tr w:rsidR="00B028FF" w:rsidRPr="00E3086D" w14:paraId="6D579B98" w14:textId="77777777" w:rsidTr="00B028FF">
        <w:tc>
          <w:tcPr>
            <w:tcW w:w="34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CFDE73" w14:textId="77777777" w:rsidR="00B028FF" w:rsidRPr="00B028FF" w:rsidRDefault="00B028FF" w:rsidP="00B028FF">
            <w:pPr>
              <w:spacing w:before="60" w:after="0" w:line="240" w:lineRule="auto"/>
              <w:ind w:left="29"/>
              <w:rPr>
                <w:rFonts w:asciiTheme="majorHAnsi" w:eastAsia="Arial" w:hAnsiTheme="majorHAnsi" w:cstheme="majorHAnsi"/>
                <w:b/>
                <w:smallCaps/>
                <w:color w:val="0070C0"/>
                <w:sz w:val="20"/>
                <w:szCs w:val="20"/>
                <w:lang w:eastAsia="bg-BG"/>
              </w:rPr>
            </w:pPr>
            <w:r w:rsidRPr="00B028FF">
              <w:rPr>
                <w:rFonts w:asciiTheme="majorHAnsi" w:eastAsia="Arial" w:hAnsiTheme="majorHAnsi" w:cstheme="majorHAnsi"/>
                <w:b/>
                <w:smallCaps/>
                <w:color w:val="0070C0"/>
                <w:sz w:val="20"/>
                <w:szCs w:val="20"/>
                <w:lang w:eastAsia="bg-BG"/>
              </w:rPr>
              <w:t>Обучения и квалификация</w:t>
            </w: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95A13E" w14:textId="77777777" w:rsidR="00B028FF" w:rsidRPr="00E3086D" w:rsidRDefault="00B028FF" w:rsidP="00B028FF">
            <w:pPr>
              <w:spacing w:before="60" w:after="60" w:line="240" w:lineRule="auto"/>
              <w:jc w:val="both"/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</w:pP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Служителите на „Обединена българска банка“ АД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val="en-US" w:eastAsia="bg-BG"/>
              </w:rPr>
              <w:t>,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 xml:space="preserve"> като застрахователен агент на „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ДЗИ – Общо застраховане” ЕАД и „ДЗИ – Животозастраховане“ ЕАД, ангажирани със застрахователната дейност, имат необходимата квалификация и са обучени да определят преди сключване на застрахователния договор изискванията и потребностите на ползвателите на застрахователни услуги въз основа на предоставената от ползвателя информация, и да ги консултират по отношението на разпространяваните застрахователни продукти.</w:t>
            </w:r>
          </w:p>
        </w:tc>
      </w:tr>
      <w:tr w:rsidR="00B028FF" w:rsidRPr="00E3086D" w14:paraId="0B17E73E" w14:textId="77777777" w:rsidTr="00B028FF">
        <w:tc>
          <w:tcPr>
            <w:tcW w:w="34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F8FF6B" w14:textId="77777777" w:rsidR="00B028FF" w:rsidRPr="00B028FF" w:rsidRDefault="00B028FF" w:rsidP="00B028FF">
            <w:pPr>
              <w:spacing w:before="60" w:after="0" w:line="240" w:lineRule="auto"/>
              <w:ind w:left="29"/>
              <w:rPr>
                <w:rFonts w:asciiTheme="majorHAnsi" w:eastAsia="Times New Roman" w:hAnsiTheme="majorHAnsi" w:cstheme="majorHAnsi"/>
                <w:smallCaps/>
                <w:color w:val="0070C0"/>
                <w:sz w:val="20"/>
                <w:szCs w:val="20"/>
                <w:lang w:eastAsia="bg-BG"/>
              </w:rPr>
            </w:pPr>
            <w:r w:rsidRPr="00B028FF">
              <w:rPr>
                <w:rFonts w:asciiTheme="majorHAnsi" w:eastAsia="Arial" w:hAnsiTheme="majorHAnsi" w:cstheme="majorHAnsi"/>
                <w:b/>
                <w:smallCaps/>
                <w:color w:val="0070C0"/>
                <w:sz w:val="20"/>
                <w:szCs w:val="20"/>
                <w:lang w:eastAsia="bg-BG"/>
              </w:rPr>
              <w:t>Информация за възнагражденията</w:t>
            </w: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6B869B" w14:textId="77777777" w:rsidR="00B028FF" w:rsidRPr="00E3086D" w:rsidRDefault="00B028FF" w:rsidP="00B028FF">
            <w:pPr>
              <w:spacing w:before="60" w:after="60" w:line="240" w:lineRule="auto"/>
              <w:jc w:val="both"/>
              <w:rPr>
                <w:rFonts w:asciiTheme="majorHAnsi" w:eastAsia="Arial" w:hAnsiTheme="majorHAnsi" w:cstheme="majorHAnsi"/>
                <w:sz w:val="20"/>
                <w:szCs w:val="20"/>
                <w:highlight w:val="yellow"/>
                <w:lang w:eastAsia="bg-BG"/>
              </w:rPr>
            </w:pP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Застрахователният агент „Обединена българска банка“ АД получава комисионно възнаграждени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е, платимо от Застрахователите „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 xml:space="preserve">ДЗИ – Общо застраховане” ЕАД и „ДЗИ – </w:t>
            </w:r>
            <w:proofErr w:type="spellStart"/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Животозастраховане</w:t>
            </w:r>
            <w:proofErr w:type="spellEnd"/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“ ЕАД, като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,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 xml:space="preserve"> независимо от начина на разпространение </w:t>
            </w:r>
            <w:proofErr w:type="spellStart"/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val="en-US" w:eastAsia="bg-BG"/>
              </w:rPr>
              <w:t>на</w:t>
            </w:r>
            <w:proofErr w:type="spellEnd"/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val="en-US" w:eastAsia="bg-BG"/>
              </w:rPr>
              <w:t>застраховката</w:t>
            </w:r>
            <w:proofErr w:type="spellEnd"/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val="en-US" w:eastAsia="bg-BG"/>
              </w:rPr>
              <w:t xml:space="preserve"> 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 xml:space="preserve">и от вида на платеното възнаграждение, размерът на дължимата </w:t>
            </w:r>
            <w:r w:rsidR="00125254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 xml:space="preserve">от клиента </w:t>
            </w:r>
            <w:r w:rsidRPr="00E3086D">
              <w:rPr>
                <w:rFonts w:asciiTheme="majorHAnsi" w:eastAsia="Arial" w:hAnsiTheme="majorHAnsi" w:cstheme="majorHAnsi"/>
                <w:sz w:val="20"/>
                <w:szCs w:val="20"/>
                <w:lang w:eastAsia="bg-BG"/>
              </w:rPr>
              <w:t>застрахователна премия по полицата не се променя.</w:t>
            </w:r>
          </w:p>
        </w:tc>
      </w:tr>
    </w:tbl>
    <w:p w14:paraId="68588A54" w14:textId="77777777" w:rsidR="00B028FF" w:rsidRPr="00B028FF" w:rsidRDefault="00B028FF" w:rsidP="00EF0974">
      <w:pPr>
        <w:spacing w:after="0" w:line="240" w:lineRule="auto"/>
        <w:ind w:right="-851"/>
        <w:rPr>
          <w:rFonts w:asciiTheme="majorHAnsi" w:eastAsia="Arial" w:hAnsiTheme="majorHAnsi" w:cstheme="majorHAnsi"/>
          <w:b/>
          <w:sz w:val="20"/>
          <w:szCs w:val="20"/>
          <w:lang w:eastAsia="bg-BG"/>
        </w:rPr>
      </w:pPr>
      <w:r w:rsidRPr="00E3086D">
        <w:rPr>
          <w:rFonts w:asciiTheme="majorHAnsi" w:eastAsia="Arial" w:hAnsiTheme="majorHAnsi" w:cstheme="majorHAnsi"/>
          <w:b/>
          <w:sz w:val="20"/>
          <w:szCs w:val="20"/>
          <w:lang w:eastAsia="bg-BG"/>
        </w:rPr>
        <w:t>Настоящата информация се предоставя на клиентите преди сключването на застрахователния договор.</w:t>
      </w:r>
    </w:p>
    <w:sectPr w:rsidR="00B028FF" w:rsidRPr="00B028FF" w:rsidSect="00B028FF">
      <w:headerReference w:type="default" r:id="rId14"/>
      <w:footerReference w:type="default" r:id="rId15"/>
      <w:pgSz w:w="12240" w:h="15840"/>
      <w:pgMar w:top="184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CDE9C" w14:textId="77777777" w:rsidR="002D2F09" w:rsidRDefault="002D2F09" w:rsidP="00D17678">
      <w:pPr>
        <w:spacing w:after="0" w:line="240" w:lineRule="auto"/>
      </w:pPr>
      <w:r>
        <w:separator/>
      </w:r>
    </w:p>
  </w:endnote>
  <w:endnote w:type="continuationSeparator" w:id="0">
    <w:p w14:paraId="56507F58" w14:textId="77777777" w:rsidR="002D2F09" w:rsidRDefault="002D2F09" w:rsidP="00D17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005B3" w14:textId="77777777" w:rsidR="00FA446F" w:rsidRDefault="00FA446F">
    <w:pPr>
      <w:pStyle w:val="Footer"/>
      <w:rPr>
        <w:noProof/>
      </w:rPr>
    </w:pPr>
    <w:r>
      <w:rPr>
        <w:noProof/>
        <w:lang w:eastAsia="bg-BG"/>
      </w:rPr>
      <w:drawing>
        <wp:anchor distT="0" distB="0" distL="114300" distR="114300" simplePos="0" relativeHeight="251659264" behindDoc="1" locked="0" layoutInCell="1" allowOverlap="1" wp14:anchorId="26601708" wp14:editId="4F604594">
          <wp:simplePos x="0" y="0"/>
          <wp:positionH relativeFrom="page">
            <wp:align>right</wp:align>
          </wp:positionH>
          <wp:positionV relativeFrom="paragraph">
            <wp:posOffset>-134592</wp:posOffset>
          </wp:positionV>
          <wp:extent cx="7676040" cy="109728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_UBB_B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6040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478C41" w14:textId="77777777" w:rsidR="00FA446F" w:rsidRDefault="00FA446F">
    <w:pPr>
      <w:pStyle w:val="Footer"/>
      <w:rPr>
        <w:noProof/>
      </w:rPr>
    </w:pPr>
  </w:p>
  <w:p w14:paraId="59DC71F4" w14:textId="77777777" w:rsidR="00D17678" w:rsidRDefault="00D176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2F6DB" w14:textId="77777777" w:rsidR="002D2F09" w:rsidRDefault="002D2F09" w:rsidP="00D17678">
      <w:pPr>
        <w:spacing w:after="0" w:line="240" w:lineRule="auto"/>
      </w:pPr>
      <w:r>
        <w:separator/>
      </w:r>
    </w:p>
  </w:footnote>
  <w:footnote w:type="continuationSeparator" w:id="0">
    <w:p w14:paraId="62E9B192" w14:textId="77777777" w:rsidR="002D2F09" w:rsidRDefault="002D2F09" w:rsidP="00D17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D5EFE" w14:textId="77777777" w:rsidR="00543AFE" w:rsidRDefault="00D17678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2853D8E3" wp14:editId="33B448F8">
          <wp:simplePos x="0" y="0"/>
          <wp:positionH relativeFrom="column">
            <wp:posOffset>-74930</wp:posOffset>
          </wp:positionH>
          <wp:positionV relativeFrom="paragraph">
            <wp:posOffset>-263563</wp:posOffset>
          </wp:positionV>
          <wp:extent cx="6697714" cy="95743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ubb-B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714" cy="957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678"/>
    <w:rsid w:val="000A5630"/>
    <w:rsid w:val="000E36FE"/>
    <w:rsid w:val="00125254"/>
    <w:rsid w:val="001308E6"/>
    <w:rsid w:val="002D2F09"/>
    <w:rsid w:val="003057A6"/>
    <w:rsid w:val="003406A9"/>
    <w:rsid w:val="00374E60"/>
    <w:rsid w:val="003C2349"/>
    <w:rsid w:val="0051005E"/>
    <w:rsid w:val="00543AFE"/>
    <w:rsid w:val="005525A4"/>
    <w:rsid w:val="005627E4"/>
    <w:rsid w:val="0056609B"/>
    <w:rsid w:val="005F4F64"/>
    <w:rsid w:val="006F7E21"/>
    <w:rsid w:val="00786C3C"/>
    <w:rsid w:val="00886E2A"/>
    <w:rsid w:val="0090743A"/>
    <w:rsid w:val="009578B4"/>
    <w:rsid w:val="00AB47FB"/>
    <w:rsid w:val="00AE3EE9"/>
    <w:rsid w:val="00B028FF"/>
    <w:rsid w:val="00D17678"/>
    <w:rsid w:val="00E42252"/>
    <w:rsid w:val="00EF0974"/>
    <w:rsid w:val="00FA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A3266B3"/>
  <w15:chartTrackingRefBased/>
  <w15:docId w15:val="{D7143A93-04F7-4192-A618-2F022EC5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8FF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7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678"/>
  </w:style>
  <w:style w:type="paragraph" w:styleId="Footer">
    <w:name w:val="footer"/>
    <w:basedOn w:val="Normal"/>
    <w:link w:val="FooterChar"/>
    <w:uiPriority w:val="99"/>
    <w:unhideWhenUsed/>
    <w:rsid w:val="00D17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678"/>
  </w:style>
  <w:style w:type="character" w:styleId="CommentReference">
    <w:name w:val="annotation reference"/>
    <w:uiPriority w:val="99"/>
    <w:semiHidden/>
    <w:unhideWhenUsed/>
    <w:rsid w:val="00B028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8FF"/>
    <w:pPr>
      <w:spacing w:after="0" w:line="240" w:lineRule="auto"/>
    </w:pPr>
    <w:rPr>
      <w:rFonts w:ascii="Calibri" w:eastAsia="Calibri" w:hAnsi="Calibri" w:cs="Arial"/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8FF"/>
    <w:rPr>
      <w:rFonts w:ascii="Calibri" w:eastAsia="Calibri" w:hAnsi="Calibri" w:cs="Arial"/>
      <w:sz w:val="20"/>
      <w:szCs w:val="20"/>
      <w:lang w:val="bg-BG" w:eastAsia="bg-BG"/>
    </w:rPr>
  </w:style>
  <w:style w:type="character" w:styleId="Hyperlink">
    <w:name w:val="Hyperlink"/>
    <w:uiPriority w:val="99"/>
    <w:unhideWhenUsed/>
    <w:rsid w:val="00B028F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8FF"/>
    <w:rPr>
      <w:rFonts w:ascii="Segoe UI" w:hAnsi="Segoe UI" w:cs="Segoe UI"/>
      <w:sz w:val="18"/>
      <w:szCs w:val="18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254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254"/>
    <w:rPr>
      <w:rFonts w:ascii="Calibri" w:eastAsia="Calibri" w:hAnsi="Calibri" w:cs="Arial"/>
      <w:b/>
      <w:bCs/>
      <w:sz w:val="20"/>
      <w:szCs w:val="20"/>
      <w:lang w:val="bg-BG" w:eastAsia="bg-BG"/>
    </w:rPr>
  </w:style>
  <w:style w:type="paragraph" w:styleId="Revision">
    <w:name w:val="Revision"/>
    <w:hidden/>
    <w:uiPriority w:val="99"/>
    <w:semiHidden/>
    <w:rsid w:val="005F4F64"/>
    <w:pPr>
      <w:spacing w:after="0" w:line="240" w:lineRule="auto"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elovodstvo@fsc.b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lients@dzi.b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bb.bg/contact/feedbac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ubb.b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0ae9cd6-81ea-471c-8eb8-ac05162311dc">D2DF57J2Q2VS-1191402710-152</_dlc_DocId>
    <_dlc_DocIdUrl xmlns="80ae9cd6-81ea-471c-8eb8-ac05162311dc">
      <Url>http://portal2013/sites/newportal/_layouts/15/DocIdRedir.aspx?ID=D2DF57J2Q2VS-1191402710-152</Url>
      <Description>D2DF57J2Q2VS-1191402710-152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781F8DD92514428E875C7666259F1F" ma:contentTypeVersion="0" ma:contentTypeDescription="Създаване на нов документ" ma:contentTypeScope="" ma:versionID="d6393df46af54bd227252f2c46e77b2b">
  <xsd:schema xmlns:xsd="http://www.w3.org/2001/XMLSchema" xmlns:xs="http://www.w3.org/2001/XMLSchema" xmlns:p="http://schemas.microsoft.com/office/2006/metadata/properties" xmlns:ns2="80ae9cd6-81ea-471c-8eb8-ac05162311dc" targetNamespace="http://schemas.microsoft.com/office/2006/metadata/properties" ma:root="true" ma:fieldsID="4d3892aa12077fec9f06a389a0d83e0d" ns2:_="">
    <xsd:import namespace="80ae9cd6-81ea-471c-8eb8-ac05162311d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e9cd6-81ea-471c-8eb8-ac05162311d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Постоянен ИД" ma:description="Запазване на ИД при добавяне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CA9869-0DAC-4524-B40E-B5B8E44CE30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59C5FAF-91CC-4EDE-8D97-281FDE600B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E22517-64A7-4855-AD18-92E8E707DD4C}">
  <ds:schemaRefs>
    <ds:schemaRef ds:uri="http://schemas.microsoft.com/office/2006/metadata/properties"/>
    <ds:schemaRef ds:uri="http://schemas.microsoft.com/office/infopath/2007/PartnerControls"/>
    <ds:schemaRef ds:uri="80ae9cd6-81ea-471c-8eb8-ac05162311dc"/>
  </ds:schemaRefs>
</ds:datastoreItem>
</file>

<file path=customXml/itemProps4.xml><?xml version="1.0" encoding="utf-8"?>
<ds:datastoreItem xmlns:ds="http://schemas.openxmlformats.org/officeDocument/2006/customXml" ds:itemID="{3644B0EF-9CC2-418A-BB0A-71D1CAFF6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e9cd6-81ea-471c-8eb8-ac0516231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2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Blagovesta T. Obretenova</dc:creator>
  <cp:keywords/>
  <dc:description/>
  <cp:lastModifiedBy>Tereza Doynova</cp:lastModifiedBy>
  <cp:revision>6</cp:revision>
  <dcterms:created xsi:type="dcterms:W3CDTF">2021-12-17T15:03:00Z</dcterms:created>
  <dcterms:modified xsi:type="dcterms:W3CDTF">2023-01-23T11:10:00Z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{F90375AB-A01D-4CA7-A0E0-E3DE287C3048}</vt:lpwstr>
  </property>
  <property fmtid="{D5CDD505-2E9C-101B-9397-08002B2CF9AE}" pid="3" name="DLPManualFileClassificationLastModifiedBy">
    <vt:lpwstr>UBB\JE46022</vt:lpwstr>
  </property>
  <property fmtid="{D5CDD505-2E9C-101B-9397-08002B2CF9AE}" pid="4" name="DLPManualFileClassificationLastModificationDate">
    <vt:lpwstr>1592910720</vt:lpwstr>
  </property>
  <property fmtid="{D5CDD505-2E9C-101B-9397-08002B2CF9AE}" pid="5" name="DLPManualFileClassificationVersion">
    <vt:lpwstr>11.5.0.60</vt:lpwstr>
  </property>
  <property fmtid="{D5CDD505-2E9C-101B-9397-08002B2CF9AE}" pid="6" name="ContentTypeId">
    <vt:lpwstr>0x010100C0781F8DD92514428E875C7666259F1F</vt:lpwstr>
  </property>
  <property fmtid="{D5CDD505-2E9C-101B-9397-08002B2CF9AE}" pid="7" name="_dlc_DocIdItemGuid">
    <vt:lpwstr>0239f5c9-4fd7-4232-97a9-7c3141566686</vt:lpwstr>
  </property>
</Properties>
</file>